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名 额 分 配 表</w:t>
      </w:r>
    </w:p>
    <w:tbl>
      <w:tblPr>
        <w:tblStyle w:val="4"/>
        <w:tblW w:w="8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2441"/>
        <w:gridCol w:w="22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  <w:t>先进单位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vertAlign w:val="baseline"/>
                <w:lang w:val="en-US" w:eastAsia="zh-CN"/>
              </w:rPr>
              <w:t>先进个人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宛城区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新魏" w:hAnsi="华文新魏" w:eastAsia="华文新魏" w:cs="华文新魏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新魏" w:hAnsi="华文新魏" w:eastAsia="华文新魏" w:cs="华文新魏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卧龙区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西峡县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唐河县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镇平县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内乡县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浙川县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新野县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社旗县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桐柏县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方城县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南召县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高新区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官庄工区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鸭河工区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县（区）机关事务管理局和事管局领导班子成员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5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市直单位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15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24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36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vertAlign w:val="baseline"/>
                <w:lang w:val="en-US" w:eastAsia="zh-CN"/>
              </w:rPr>
              <w:t>69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3677B"/>
    <w:rsid w:val="77F359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2017-02-23T01:33:02Z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